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93 vom 9. April 2026</w:t>
      </w:r>
    </w:p>
    <w:p>
      <w:r>
        <w:t>FR Kantonsgericht, 2026-04-09, FR</w:t>
      </w:r>
    </w:p>
    <w:p>
      <w:r>
        <w:rPr>
          <w:b/>
        </w:rPr>
        <w:t xml:space="preserve">Quelle: </w:t>
      </w:r>
      <w:r>
        <w:t>https://mcp.opencaselaw.ch/entscheid/fr_gerichte_102 2026 93</w:t>
      </w:r>
    </w:p>
    <w:p>
      <w:r>
        <w:t>FR: FR_GERICHTE 102 2026 93 du 9 avril 2026</w:t>
      </w:r>
    </w:p>
    <w:p>
      <w:r>
        <w:t>IT: FR_GERICHTE 102 2026 93 del 9 aprile 2026</w:t>
      </w:r>
    </w:p>
    <w:p>
      <w:pPr>
        <w:pStyle w:val="Heading2"/>
      </w:pPr>
      <w:r>
        <w:t>Erwägungen</w:t>
      </w:r>
    </w:p>
    <w:p>
      <w:r>
        <w:rPr>
          <w:b/>
        </w:rPr>
        <w:t>E. 1.1</w:t>
      </w:r>
    </w:p>
    <w:p>
      <w:r>
        <w:t>Seule la voie du recours (art. 319ss du Code de procédure civile du 19 décembre 2008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cognition de la Cour d’appel est pleine et entière en droit ;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(arrêt TF 5A_950/2014 du 16 avril 2015 consid. 3.5). En l’espèce, la recourante a produit, au stade du recours seulement, une copie du contrat de bail à loyer signé par l’intimé et indiquant le loyer mensuel dû par CHF 1'200.-. Ce nouveau moyen de preuve, tardif au regard de l’art. 326 al. 1 CPC, est irrecevable. Il n’en sera dès lors pas tenu compte et la Cour statuera sur la base des allégués et des pièces produites en première instance.</w:t>
      </w:r>
    </w:p>
    <w:p>
      <w:r>
        <w:rPr>
          <w:b/>
        </w:rPr>
        <w:t>E. 2.1</w:t>
      </w:r>
    </w:p>
    <w:p>
      <w:r>
        <w:t>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t>Tribunal cantonal TC Page 3 de 4 La procédure de mainlevée provisoire, ou définitive, est une procédure sur pièces (Urkunden- 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 ses moyens libératoires (ATF 142 III 720 consid. 4.1;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aussi découler du rapprochement de plusieurs pièces, pour autant que les éléments nécessaires en résultent (ATF 132 III 480 consid. 4.1 et les arrêts cités). Selon la jurisprudence cantonale et la doctrine, le montant de la créance peut ainsi figurer sur l'acte signé ou sur une pièce auquel celui-ci se rapporte (BSK SchKG I-STAEHELIN, 3ème éd. 2021, art. 82, n. 25 et la jurisprudence citée). Cependant, dans tous les cas, pour constituer un titre de mainlevée, la reconnaissance de dette doit être signée par le débiteur ou son représentant, à moins qu'elle ne soit contenue dans un acte authentique (CR LP- BOVEY/CONSTANTIN, 2ème éd. 2025, art. 82, n. 11).</w:t>
      </w:r>
    </w:p>
    <w:p>
      <w:r>
        <w:rPr>
          <w:b/>
        </w:rPr>
        <w:t>E. 2.2</w:t>
      </w:r>
    </w:p>
    <w:p>
      <w:r>
        <w:t>En l’espèce, en première instance, comme l’a justement constaté la première juge, la recourante n’a produit aucune pièce signée par l’opposant dans laquelle ce dernier s’engageait à lui verser le montant qu’elle lui réclamait. En effet, à l’appui de sa requête de mainlevée, la recourante a produit, comme unique document signé par l’opposant, l’état de sortie du 13 juin 2025 sur lequel il est mentionné : « manque loyer mois de mai, juin 2025 ». Cette pièce ne constitue pas une reconnaissance de dette valant titre de mainlevée provisoire, dès lors qu’elle n’indique pas le montant des loyers manquants. Les deux autres documents produits par la recourante en première instance, soit les courriers recommandés qu’elle a adressés les 30 juin 2025 et 16 septembre 2025 à l’opposant, ne sont pas signés par ce dernier et ne constituent donc pas une reconnaissance de dette. Partant, en l’absence d’un titre de mainlevée provisoire au sens de l’art. 82 LP, c’est à bon droit que la Présidente a rejeté la requête de mainlevée déposée par la recourante. Il s’ensuit le rejet du recours.</w:t>
      </w:r>
    </w:p>
    <w:p>
      <w:r>
        <w:rPr>
          <w:b/>
        </w:rPr>
        <w:t>E. 3</w:t>
      </w:r>
    </w:p>
    <w:p>
      <w:r>
        <w:t>Les frais de la procédure de recours sont mis à la charge de la recourante, qui succombe (art. 106 al. 1 CPC).</w:t>
      </w:r>
    </w:p>
    <w:p>
      <w:r>
        <w:rPr>
          <w:b/>
        </w:rPr>
        <w:t>E. 3.1</w:t>
      </w:r>
    </w:p>
    <w:p>
      <w:r>
        <w:t>Ils comprennent les frais judiciaires – fixés forfaitairement à CHF 180.- (art. 48 et 61 al. 1 OELP) – qui seront prélevés sur l’avance de frais versée par la société A.________ SA.</w:t>
      </w:r>
    </w:p>
    <w:p>
      <w:r>
        <w:rPr>
          <w:b/>
        </w:rPr>
        <w:t>E. 3.2</w:t>
      </w:r>
    </w:p>
    <w:p>
      <w:r>
        <w:t>Il n'est pas alloué de dépens à l'intimé, qui n’a pas été invité à se déterminer sur le recours.</w:t>
      </w:r>
    </w:p>
    <w:p>
      <w:r>
        <w:t>Tribunal cantonal TC Page 4 de 4 la Cour arrête : I. Le recours est rejeté. II. Les frais de la procédure de recours sont mis à la charge de la société A.________ SA. Les frais judiciaires sont fixés à CHF 180.-. Ils sont prélevés sur l’avance de frais versée par la société A.________ SA.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90ss de la loi sur le Tribunal fédéral du 17 juin 2005 (LTF). L'acte de recours motivé doit être adressé au Tribunal fédéral, 1000 Lausanne 14. Fribourg, le 13 avril 2026/egm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